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仿宋_GB2312" w:hAnsi="仿宋_GB2312" w:eastAsia="仿宋_GB2312" w:cs="仿宋_GB2312" w:hint="eastAsia"/>
          <w:b/>
          <w:bCs/>
          <w:sz w:val="36"/>
          <w:szCs w:val="36"/>
        </w:rPr>
      </w:pPr>
      <w:r>
        <w:rPr>
          <w:rFonts w:ascii="仿宋_GB2312" w:hAnsi="仿宋_GB2312" w:eastAsia="仿宋_GB2312" w:cs="仿宋_GB2312" w:hint="eastAsia"/>
          <w:b/>
          <w:bCs/>
          <w:sz w:val="36"/>
          <w:szCs w:val="36"/>
        </w:rPr>
        <w:t>申请加入志愿者登记表</w:t>
      </w:r>
    </w:p>
    <w:p>
      <w:pPr>
        <w:rPr>
          <w:rFonts w:ascii="仿宋_GB2312" w:hAnsi="仿宋_GB2312" w:eastAsia="仿宋_GB2312" w:cs="仿宋_GB2312" w:hint="eastAsia"/>
          <w:b/>
          <w:bCs/>
          <w:sz w:val="36"/>
          <w:szCs w:val="36"/>
        </w:rPr>
      </w:pPr>
      <w:r>
        <w:rPr>
          <w:rFonts w:ascii="仿宋_GB2312" w:hAnsi="仿宋_GB2312" w:eastAsia="仿宋_GB2312" w:cs="仿宋_GB2312" w:hint="eastAsia"/>
          <w:b/>
          <w:bCs/>
          <w:sz w:val="36"/>
          <w:szCs w:val="36"/>
        </w:rPr>
        <w:t xml:space="preserve">                       </w:t>
      </w:r>
      <w:r>
        <w:rPr>
          <w:rFonts w:ascii="仿宋_GB2312" w:hAnsi="仿宋_GB2312" w:eastAsia="仿宋_GB2312" w:cs="仿宋_GB2312" w:hint="eastAsia"/>
          <w:sz w:val="28"/>
          <w:szCs w:val="28"/>
        </w:rPr>
        <w:t>填写时间：      年   月   日</w:t>
      </w:r>
      <w:r>
        <w:rPr>
          <w:rFonts w:ascii="仿宋_GB2312" w:hAnsi="仿宋_GB2312" w:eastAsia="仿宋_GB2312" w:cs="仿宋_GB2312" w:hint="eastAsia"/>
          <w:b/>
          <w:bCs/>
          <w:sz w:val="36"/>
          <w:szCs w:val="36"/>
        </w:rPr>
      </w:r>
    </w:p>
    <w:tbl>
      <w:tblPr>
        <w:jc w:val="left"/>
        <w:tblInd w:w="-108" w:type="dxa"/>
        <w:tblW w:w="8522" w:type="dxa"/>
      </w:tblPr>
      <w:tblGrid>
        <w:gridCol w:w="2319"/>
        <w:gridCol w:w="1941"/>
        <w:gridCol w:w="2131"/>
        <w:gridCol w:w="2131"/>
      </w:tblGrid>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姓       名</w:t>
            </w:r>
          </w:p>
        </w:tc>
        <w:tc>
          <w:tcPr>
            <w:tcW w:w="194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c>
          <w:tcPr>
            <w:tcW w:w="213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性    别</w:t>
            </w:r>
          </w:p>
        </w:tc>
        <w:tc>
          <w:tcPr>
            <w:tcW w:w="213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出 生 年 月</w:t>
            </w:r>
          </w:p>
        </w:tc>
        <w:tc>
          <w:tcPr>
            <w:tcW w:w="194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c>
          <w:tcPr>
            <w:tcW w:w="213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政治面貌</w:t>
            </w:r>
          </w:p>
        </w:tc>
        <w:tc>
          <w:tcPr>
            <w:tcW w:w="213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学历及资质证书</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3872" w:hRule="atLeast"/>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本</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人</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简</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历</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何时何地</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受何奖励</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953" w:hRule="atLeast"/>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本    人</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特    长</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家庭住址</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0" w:hRule="auto"/>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联系电话</w:t>
            </w:r>
          </w:p>
        </w:tc>
        <w:tc>
          <w:tcPr>
            <w:tcW w:w="620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r>
      <w:tr>
        <w:trPr>
          <w:trHeight w:val="2316" w:hRule="atLeast"/>
        </w:trPr>
        <w:tc>
          <w:tcPr>
            <w:tcW w:w="231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备</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t>注</w:t>
            </w:r>
          </w:p>
          <w:p>
            <w:pPr>
              <w:spacing/>
              <w:jc w:val="center"/>
              <w:rPr>
                <w:rFonts w:ascii="仿宋_GB2312" w:hAnsi="仿宋_GB2312" w:eastAsia="仿宋_GB2312" w:cs="仿宋_GB2312" w:hint="eastAsia"/>
                <w:sz w:val="28"/>
                <w:szCs w:val="28"/>
              </w:rPr>
            </w:pPr>
            <w:r>
              <w:rPr>
                <w:rFonts w:ascii="仿宋_GB2312" w:hAnsi="仿宋_GB2312" w:eastAsia="仿宋_GB2312" w:cs="仿宋_GB2312" w:hint="eastAsia"/>
                <w:sz w:val="28"/>
                <w:szCs w:val="28"/>
              </w:rPr>
            </w:r>
          </w:p>
        </w:tc>
        <w:tc>
          <w:tcPr>
            <w:tcW w:w="6203" w:type="dxa"/>
            <w:gridSpan w:val="3"/>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before="300" w:after="225" w:line="360" w:lineRule="atLeast"/>
              <w:widowControl/>
              <w:pBdr>
                <w:top w:val="none" w:sz="0" w:space="0" w:color="000000"/>
                <w:left w:val="none" w:sz="0" w:space="0" w:color="000000"/>
                <w:bottom w:val="none" w:sz="0" w:space="0" w:color="000000"/>
                <w:right w:val="none" w:sz="0" w:space="0" w:color="000000"/>
                <w:between w:val="none" w:sz="0" w:space="0" w:color="000000"/>
              </w:pBdr>
              <w:shd w:val="clear" w:color="000000" w:fill="FFFFFF"/>
              <w:rPr>
                <w:rFonts w:ascii="仿宋_GB2312" w:hAnsi="仿宋_GB2312" w:eastAsia="仿宋_GB2312" w:cs="仿宋_GB2312" w:hint="eastAsia"/>
                <w:sz w:val="28"/>
                <w:szCs w:val="28"/>
              </w:rPr>
            </w:pPr>
            <w:r>
              <w:rPr>
                <w:rFonts w:ascii="仿宋_GB2312" w:hAnsi="仿宋_GB2312" w:eastAsia="仿宋_GB2312" w:cs="仿宋_GB2312" w:hint="eastAsia"/>
                <w:color w:val="333333"/>
                <w:szCs w:val="21"/>
                <w:shd w:val="clear" w:fill="ffffff"/>
              </w:rPr>
              <w:t xml:space="preserve">    1、志愿者定义：在自身条件许可的情况下，在不谋求任何物质、金钱及相关利益回报的前提下，自愿奉献个人的时间和行动，自愿参与促进会组织的社会公益活动；2、加入志愿者队伍以自愿为原则。3、志愿者工作是一种具有组织性的助人及基于社会公益责任的参与行为，一旦加入，要严格遵守组织方的相关规定和要求。4、志愿者可优先享受促进会服务资源。</w:t>
            </w:r>
            <w:r>
              <w:rPr>
                <w:rFonts w:ascii="仿宋_GB2312" w:hAnsi="仿宋_GB2312" w:eastAsia="仿宋_GB2312" w:cs="仿宋_GB2312" w:hint="eastAsia"/>
                <w:sz w:val="28"/>
                <w:szCs w:val="28"/>
              </w:rPr>
            </w:r>
          </w:p>
        </w:tc>
      </w:tr>
    </w:tbl>
    <w:p>
      <w:pPr>
        <w:rPr>
          <w:rFonts w:ascii="仿宋_GB2312" w:hAnsi="仿宋_GB2312" w:eastAsia="仿宋_GB2312" w:cs="仿宋_GB2312" w:hint="eastAsia"/>
        </w:rPr>
      </w:pPr>
      <w:r>
        <w:rPr>
          <w:rFonts w:ascii="仿宋_GB2312" w:hAnsi="仿宋_GB2312" w:eastAsia="仿宋_GB2312" w:cs="仿宋_GB2312" w:hint="eastAsia"/>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auto"/>
    <w:pitch w:val="default"/>
  </w:font>
  <w:font w:name="宋体">
    <w:panose1 w:val="02010600030101010101"/>
    <w:charset w:val="86"/>
    <w:family w:val="roman"/>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0"/>
    <w:family w:val="auto"/>
    <w:pitch w:val="default"/>
  </w:font>
  <w:font w:name="Symbol">
    <w:panose1 w:val="05050102010706020507"/>
    <w:charset w:val="02"/>
    <w:family w:val="decorative"/>
    <w:pitch w:val="default"/>
  </w:font>
  <w:font w:name="Cambria">
    <w:panose1 w:val="02040503050406030204"/>
    <w:charset w:val="00"/>
    <w:family w:val="decorative"/>
    <w:pitch w:val="default"/>
  </w:font>
  <w:font w:name="Calibri">
    <w:panose1 w:val="020F0502020204030204"/>
    <w:charset w:val="00"/>
    <w:family w:val="modern"/>
    <w:pitch w:val="default"/>
  </w:font>
  <w:font w:name="Palatino Linotype">
    <w:panose1 w:val="02040502050505030304"/>
    <w:charset w:val="00"/>
    <w:family w:val="auto"/>
    <w:pitch w:val="default"/>
  </w:font>
  <w:font w:name="微软雅黑">
    <w:panose1 w:val="020B0503020204020204"/>
    <w:charset w:val="86"/>
    <w:family w:val="swiss"/>
    <w:pitch w:val="default"/>
  </w:font>
  <w:font w:name="baikeFont_layout">
    <w:panose1 w:val="020B0604020202020204"/>
    <w:charset w:val="00"/>
    <w:family w:val="auto"/>
    <w:pitch w:val="default"/>
  </w:font>
  <w:font w:name="baikeFont_cmnIconFont">
    <w:panose1 w:val="020B0604020202020204"/>
    <w:charset w:val="00"/>
    <w:family w:val="auto"/>
    <w:pitch w:val="default"/>
  </w:font>
  <w:font w:name="monospace">
    <w:panose1 w:val="020B0604020202020204"/>
    <w:charset w:val="00"/>
    <w:family w:val="auto"/>
    <w:pitch w:val="default"/>
  </w:font>
  <w:font w:name="Segoe Print">
    <w:panose1 w:val="02000600000000000000"/>
    <w:charset w:val="00"/>
    <w:family w:val="auto"/>
    <w:pitch w:val="default"/>
  </w:font>
  <w:font w:name="Verdana">
    <w:panose1 w:val="020B0604030504040204"/>
    <w:charset w:val="00"/>
    <w:family w:val="auto"/>
    <w:pitch w:val="default"/>
  </w:font>
  <w:font w:name="仿宋_GB2312">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22"/>
    <w:tmLastPosCaret>
      <w:tmLastPosPgfIdx w:val="0"/>
      <w:tmLastPosIdx w:val="98"/>
    </w:tmLastPosCaret>
    <w:tmLastPosAnchor>
      <w:tmLastPosPgfIdx w:val="0"/>
      <w:tmLastPosIdx w:val="0"/>
    </w:tmLastPosAnchor>
    <w:tmLastPosTblRect w:left="0" w:top="0" w:right="0" w:bottom="0"/>
    <w:tmAppRevision w:date="1462345711"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rPr>
      <w:rFonts w:ascii="Times New Roman" w:hAnsi="Times New Roman"/>
      <w:kern w:val="0"/>
      <w:sz w:val="20"/>
      <w:szCs w:val="20"/>
      <w:lang w:val="en-us" w:eastAsia="zh-cn" w:bidi="ar-sa"/>
    </w:rPr>
  </w:style>
  <w:style w:type="character" w:styleId="">
    <w:name w:val="Strong"/>
    <w:basedOn w:val=""/>
    <w:rPr>
      <w:b/>
    </w:rPr>
  </w:style>
  <w:style w:type="character" w:styleId="">
    <w:name w:val="FollowedHyperlink"/>
    <w:basedOn w:val=""/>
    <w:rPr>
      <w:color w:val="338de6"/>
      <w:u w:color="auto" w:val="none"/>
    </w:rPr>
  </w:style>
  <w:style w:type="character" w:styleId="">
    <w:name w:val="Emphasis"/>
    <w:basedOn w:val=""/>
  </w:style>
  <w:style w:type="character" w:styleId="HTML">
    <w:name w:val="HTML Definition"/>
    <w:basedOn w:val=""/>
  </w:style>
  <w:style w:type="character" w:styleId="HTML">
    <w:name w:val="HTML Variable"/>
    <w:basedOn w:val=""/>
  </w:style>
  <w:style w:type="character" w:styleId="">
    <w:name w:val="Hyperlink"/>
    <w:basedOn w:val=""/>
    <w:rPr>
      <w:color w:val="338de6"/>
      <w:u w:color="auto" w:val="none"/>
    </w:rPr>
  </w:style>
  <w:style w:type="character" w:styleId="HTML">
    <w:name w:val="HTML Code"/>
    <w:basedOn w:val=""/>
    <w:rPr>
      <w:rFonts w:ascii="monospace" w:hAnsi="monospace" w:eastAsia="monospace" w:cs="monospace"/>
      <w:sz w:val="21"/>
      <w:szCs w:val="21"/>
    </w:rPr>
  </w:style>
  <w:style w:type="character" w:styleId="HTML">
    <w:name w:val="HTML Cite"/>
    <w:basedOn w:val=""/>
  </w:style>
  <w:style w:type="character" w:styleId="HTML">
    <w:name w:val="HTML Keyboard"/>
    <w:basedOn w:val=""/>
    <w:rPr>
      <w:rFonts w:ascii="monospace" w:hAnsi="monospace" w:eastAsia="monospace" w:cs="monospace"/>
      <w:sz w:val="21"/>
      <w:szCs w:val="21"/>
    </w:rPr>
  </w:style>
  <w:style w:type="character" w:styleId="HTML">
    <w:name w:val="HTML Sample"/>
    <w:basedOn w:val=""/>
    <w:rPr>
      <w:rFonts w:ascii="monospace" w:hAnsi="monospace" w:eastAsia="monospace" w:cs="monospace"/>
      <w:sz w:val="21"/>
      <w:szCs w:val="21"/>
    </w:rPr>
  </w:style>
  <w:style w:type="character" w:styleId="fontborder" w:customStyle="1">
    <w:name w:val="fontborder"/>
    <w:basedOn w:val=""/>
  </w:style>
  <w:style w:type="character" w:styleId="fontstrikethrough" w:customStyle="1">
    <w:name w:val="fontstrikethrough"/>
    <w:basedOn w:val=""/>
    <w:rPr>
      <w:strike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rPr>
      <w:rFonts w:ascii="Times New Roman" w:hAnsi="Times New Roman"/>
      <w:kern w:val="0"/>
      <w:sz w:val="20"/>
      <w:szCs w:val="20"/>
      <w:lang w:val="en-us" w:eastAsia="zh-cn" w:bidi="ar-sa"/>
    </w:rPr>
  </w:style>
  <w:style w:type="character" w:styleId="">
    <w:name w:val="Strong"/>
    <w:basedOn w:val=""/>
    <w:rPr>
      <w:b/>
    </w:rPr>
  </w:style>
  <w:style w:type="character" w:styleId="">
    <w:name w:val="FollowedHyperlink"/>
    <w:basedOn w:val=""/>
    <w:rPr>
      <w:color w:val="338de6"/>
      <w:u w:color="auto" w:val="none"/>
    </w:rPr>
  </w:style>
  <w:style w:type="character" w:styleId="">
    <w:name w:val="Emphasis"/>
    <w:basedOn w:val=""/>
  </w:style>
  <w:style w:type="character" w:styleId="HTML">
    <w:name w:val="HTML Definition"/>
    <w:basedOn w:val=""/>
  </w:style>
  <w:style w:type="character" w:styleId="HTML">
    <w:name w:val="HTML Variable"/>
    <w:basedOn w:val=""/>
  </w:style>
  <w:style w:type="character" w:styleId="">
    <w:name w:val="Hyperlink"/>
    <w:basedOn w:val=""/>
    <w:rPr>
      <w:color w:val="338de6"/>
      <w:u w:color="auto" w:val="none"/>
    </w:rPr>
  </w:style>
  <w:style w:type="character" w:styleId="HTML">
    <w:name w:val="HTML Code"/>
    <w:basedOn w:val=""/>
    <w:rPr>
      <w:rFonts w:ascii="monospace" w:hAnsi="monospace" w:eastAsia="monospace" w:cs="monospace"/>
      <w:sz w:val="21"/>
      <w:szCs w:val="21"/>
    </w:rPr>
  </w:style>
  <w:style w:type="character" w:styleId="HTML">
    <w:name w:val="HTML Cite"/>
    <w:basedOn w:val=""/>
  </w:style>
  <w:style w:type="character" w:styleId="HTML">
    <w:name w:val="HTML Keyboard"/>
    <w:basedOn w:val=""/>
    <w:rPr>
      <w:rFonts w:ascii="monospace" w:hAnsi="monospace" w:eastAsia="monospace" w:cs="monospace"/>
      <w:sz w:val="21"/>
      <w:szCs w:val="21"/>
    </w:rPr>
  </w:style>
  <w:style w:type="character" w:styleId="HTML">
    <w:name w:val="HTML Sample"/>
    <w:basedOn w:val=""/>
    <w:rPr>
      <w:rFonts w:ascii="monospace" w:hAnsi="monospace" w:eastAsia="monospace" w:cs="monospace"/>
      <w:sz w:val="21"/>
      <w:szCs w:val="21"/>
    </w:rPr>
  </w:style>
  <w:style w:type="character" w:styleId="fontborder" w:customStyle="1">
    <w:name w:val="fontborder"/>
    <w:basedOn w:val=""/>
  </w:style>
  <w:style w:type="character" w:styleId="fontstrikethrough" w:customStyle="1">
    <w:name w:val="fontstrikethrough"/>
    <w:basedOn w:val=""/>
    <w:rPr>
      <w:strike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2014-10-29T12:08:00Z</dcterms:created>
  <dcterms:modified xsi:type="dcterms:W3CDTF">2016-05-04T15:08:31Z</dcterms:modified>
</cp:coreProperties>
</file>